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1D" w:rsidRDefault="0018621D" w:rsidP="0018621D">
      <w:pPr>
        <w:spacing w:after="0" w:line="360" w:lineRule="auto"/>
        <w:jc w:val="both"/>
        <w:rPr>
          <w:rStyle w:val="5yl5"/>
          <w:rFonts w:ascii="Times New Roman" w:hAnsi="Times New Roman"/>
          <w:i/>
          <w:sz w:val="8"/>
          <w:szCs w:val="8"/>
        </w:rPr>
      </w:pPr>
      <w:r>
        <w:rPr>
          <w:rStyle w:val="5yl5"/>
          <w:rFonts w:ascii="Times New Roman" w:hAnsi="Times New Roman"/>
          <w:b/>
          <w:sz w:val="26"/>
          <w:szCs w:val="26"/>
        </w:rPr>
        <w:t>Tytuł wystąpienia lub posteru (</w:t>
      </w:r>
      <w:r>
        <w:rPr>
          <w:rStyle w:val="5yl5"/>
          <w:rFonts w:ascii="Times New Roman" w:hAnsi="Times New Roman"/>
          <w:b/>
          <w:i/>
          <w:sz w:val="26"/>
          <w:szCs w:val="26"/>
        </w:rPr>
        <w:t>nazwy łacińskie</w:t>
      </w:r>
      <w:r>
        <w:rPr>
          <w:rStyle w:val="5yl5"/>
          <w:rFonts w:ascii="Times New Roman" w:hAnsi="Times New Roman"/>
          <w:b/>
          <w:sz w:val="26"/>
          <w:szCs w:val="26"/>
        </w:rPr>
        <w:t xml:space="preserve">) </w:t>
      </w:r>
    </w:p>
    <w:p w:rsidR="0018621D" w:rsidRDefault="0018621D" w:rsidP="0018621D">
      <w:pPr>
        <w:spacing w:after="0" w:line="360" w:lineRule="auto"/>
        <w:jc w:val="both"/>
        <w:rPr>
          <w:rStyle w:val="5yl5"/>
          <w:rFonts w:ascii="Times New Roman" w:hAnsi="Times New Roman"/>
          <w:b/>
          <w:sz w:val="20"/>
          <w:szCs w:val="20"/>
        </w:rPr>
      </w:pPr>
      <w:r>
        <w:rPr>
          <w:rStyle w:val="5yl5"/>
          <w:rFonts w:ascii="Times New Roman" w:hAnsi="Times New Roman"/>
          <w:b/>
          <w:sz w:val="20"/>
          <w:szCs w:val="20"/>
          <w:u w:val="single"/>
        </w:rPr>
        <w:t>Autor</w:t>
      </w:r>
      <w:r>
        <w:rPr>
          <w:rStyle w:val="5yl5"/>
          <w:rFonts w:ascii="Times New Roman" w:hAnsi="Times New Roman"/>
          <w:b/>
          <w:sz w:val="20"/>
          <w:szCs w:val="20"/>
          <w:vertAlign w:val="superscript"/>
        </w:rPr>
        <w:t>1*</w:t>
      </w:r>
      <w:r>
        <w:rPr>
          <w:rStyle w:val="5yl5"/>
          <w:rFonts w:ascii="Times New Roman" w:hAnsi="Times New Roman"/>
          <w:b/>
          <w:sz w:val="20"/>
          <w:szCs w:val="20"/>
        </w:rPr>
        <w:t>, Współautor</w:t>
      </w:r>
      <w:r>
        <w:rPr>
          <w:rStyle w:val="5yl5"/>
          <w:rFonts w:ascii="Times New Roman" w:hAnsi="Times New Roman"/>
          <w:b/>
          <w:sz w:val="20"/>
          <w:szCs w:val="20"/>
          <w:vertAlign w:val="superscript"/>
        </w:rPr>
        <w:t>1,</w:t>
      </w:r>
      <w:r>
        <w:rPr>
          <w:rStyle w:val="5yl5"/>
          <w:rFonts w:ascii="Times New Roman" w:hAnsi="Times New Roman"/>
          <w:b/>
          <w:sz w:val="20"/>
          <w:szCs w:val="20"/>
        </w:rPr>
        <w:t>, Współautor</w:t>
      </w:r>
      <w:r>
        <w:rPr>
          <w:rStyle w:val="5yl5"/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Style w:val="5yl5"/>
          <w:rFonts w:ascii="Times New Roman" w:hAnsi="Times New Roman"/>
          <w:b/>
          <w:sz w:val="20"/>
          <w:szCs w:val="20"/>
        </w:rPr>
        <w:t>, Współautor</w:t>
      </w:r>
      <w:r>
        <w:rPr>
          <w:rStyle w:val="5yl5"/>
          <w:rFonts w:ascii="Times New Roman" w:hAnsi="Times New Roman"/>
          <w:b/>
          <w:sz w:val="20"/>
          <w:szCs w:val="20"/>
          <w:vertAlign w:val="superscript"/>
        </w:rPr>
        <w:t>2</w:t>
      </w:r>
    </w:p>
    <w:p w:rsidR="0018621D" w:rsidRDefault="0018621D" w:rsidP="0018621D">
      <w:pPr>
        <w:spacing w:after="0" w:line="360" w:lineRule="auto"/>
        <w:jc w:val="both"/>
        <w:rPr>
          <w:rStyle w:val="5yl5"/>
          <w:rFonts w:ascii="Times New Roman" w:hAnsi="Times New Roman"/>
          <w:sz w:val="16"/>
          <w:szCs w:val="16"/>
        </w:rPr>
      </w:pPr>
      <w:r>
        <w:rPr>
          <w:rStyle w:val="5yl5"/>
          <w:rFonts w:ascii="Times New Roman" w:hAnsi="Times New Roman"/>
          <w:sz w:val="16"/>
          <w:szCs w:val="16"/>
        </w:rPr>
        <w:t>1 Uniwersytet Mikołaja Kopernika w Toruniu, Wydział Biologii i Ochrony Środowiska, Studenckie Koło Naukowe Biologów, Sekcja Hydrobiologiczna, ul. Lwowska 1, 87-100 Toruń</w:t>
      </w:r>
    </w:p>
    <w:p w:rsidR="0018621D" w:rsidRDefault="0018621D" w:rsidP="0018621D">
      <w:pPr>
        <w:spacing w:after="0" w:line="360" w:lineRule="auto"/>
        <w:jc w:val="both"/>
        <w:rPr>
          <w:rStyle w:val="5yl5"/>
          <w:rFonts w:ascii="Times New Roman" w:hAnsi="Times New Roman"/>
          <w:sz w:val="16"/>
          <w:szCs w:val="16"/>
        </w:rPr>
      </w:pPr>
      <w:r>
        <w:rPr>
          <w:rStyle w:val="5yl5"/>
          <w:rFonts w:ascii="Times New Roman" w:hAnsi="Times New Roman"/>
          <w:sz w:val="16"/>
          <w:szCs w:val="16"/>
        </w:rPr>
        <w:t>2 Uniwersytet Mikołaja Kopernika w Toruniu, Wydział Biologii i Ochrony Środowiska, Zakład Zoologii Bezkręgowców, ul. Lwowska 1, 87-100 Toruń</w:t>
      </w:r>
    </w:p>
    <w:p w:rsidR="0018621D" w:rsidRDefault="0018621D" w:rsidP="0018621D">
      <w:pPr>
        <w:spacing w:after="0" w:line="360" w:lineRule="auto"/>
        <w:jc w:val="both"/>
        <w:rPr>
          <w:i/>
          <w:color w:val="000000"/>
          <w:u w:val="single"/>
        </w:rPr>
      </w:pPr>
      <w:r>
        <w:rPr>
          <w:rStyle w:val="5yl5"/>
          <w:rFonts w:ascii="Times New Roman" w:hAnsi="Times New Roman"/>
          <w:i/>
          <w:sz w:val="16"/>
          <w:szCs w:val="16"/>
          <w:vertAlign w:val="superscript"/>
        </w:rPr>
        <w:t>*</w:t>
      </w:r>
      <w:r>
        <w:rPr>
          <w:rFonts w:ascii="Times New Roman" w:hAnsi="Times New Roman"/>
          <w:i/>
          <w:sz w:val="16"/>
          <w:szCs w:val="16"/>
        </w:rPr>
        <w:t>adres.mailowy@gmail.com</w:t>
      </w:r>
    </w:p>
    <w:p w:rsidR="0018621D" w:rsidRDefault="0018621D" w:rsidP="0018621D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8621D" w:rsidRDefault="0018621D" w:rsidP="001862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Pontokaspijski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małż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Dreissena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polymorpha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jest słodkowodnym małżem, uważanym za jeden z najbardziej inwazyjnych gatunków na świecie. Na wielu obszarach tworzy rozległe kolonie, które stają się przyczyną zmian środowiskowych. Dorosłe osobniki, uważane w dużej mierze za  osiadłe, preferują stałe podłoża. W przypadku podłoży sztucznych (takich jak urządzenia hydrotechniczne, burty statków) osiadanie racicznicy jest powodem ich uszkodzenia lub całkowitego zniszczenia.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Dreissena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polymorpha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może również negatywnie wpływać  na inne gatunki, a w szczególności na małże z rodziny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Unionidae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skójkowate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). Obrastanie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skójkowatych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przez racicznicę często powoduje  deformację ich muszli w rejonie syfonu, co potencjalnie wpływa na wszystkie funkcje życiowe związane z filtracją. </w:t>
      </w:r>
    </w:p>
    <w:p w:rsidR="0018621D" w:rsidRDefault="0018621D" w:rsidP="0018621D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Celem naszych badań terenowych było określenie 1. które gatunki skórkowatych są najbardziej preferowane przez </w:t>
      </w:r>
      <w:r>
        <w:rPr>
          <w:rFonts w:ascii="Times New Roman" w:hAnsi="Times New Roman"/>
          <w:i/>
          <w:sz w:val="20"/>
          <w:szCs w:val="20"/>
        </w:rPr>
        <w:t xml:space="preserve">D. </w:t>
      </w:r>
      <w:proofErr w:type="spellStart"/>
      <w:r>
        <w:rPr>
          <w:rFonts w:ascii="Times New Roman" w:hAnsi="Times New Roman"/>
          <w:i/>
          <w:sz w:val="20"/>
          <w:szCs w:val="20"/>
        </w:rPr>
        <w:t>polymorpha</w:t>
      </w:r>
      <w:proofErr w:type="spellEnd"/>
      <w:r>
        <w:rPr>
          <w:rFonts w:ascii="Times New Roman" w:hAnsi="Times New Roman"/>
          <w:sz w:val="20"/>
          <w:szCs w:val="20"/>
        </w:rPr>
        <w:t xml:space="preserve">, 2. czy preferencje racicznicy zmieniają się w stosunku do zebranych </w:t>
      </w:r>
      <w:proofErr w:type="spellStart"/>
      <w:r>
        <w:rPr>
          <w:rFonts w:ascii="Times New Roman" w:hAnsi="Times New Roman"/>
          <w:sz w:val="20"/>
          <w:szCs w:val="20"/>
        </w:rPr>
        <w:t>skójkowatych</w:t>
      </w:r>
      <w:proofErr w:type="spellEnd"/>
      <w:r>
        <w:rPr>
          <w:rFonts w:ascii="Times New Roman" w:hAnsi="Times New Roman"/>
          <w:sz w:val="20"/>
          <w:szCs w:val="20"/>
        </w:rPr>
        <w:t xml:space="preserve"> z różnych podłoży, 3. w jaki sposób stopień obrośnięcia muszli skójki przez racicznice wpływa na stan fizjologiczny </w:t>
      </w:r>
      <w:proofErr w:type="spellStart"/>
      <w:r>
        <w:rPr>
          <w:rFonts w:ascii="Times New Roman" w:hAnsi="Times New Roman"/>
          <w:sz w:val="20"/>
          <w:szCs w:val="20"/>
        </w:rPr>
        <w:t>Unionidae</w:t>
      </w:r>
      <w:proofErr w:type="spellEnd"/>
      <w:r>
        <w:rPr>
          <w:rFonts w:ascii="Times New Roman" w:hAnsi="Times New Roman"/>
          <w:sz w:val="20"/>
          <w:szCs w:val="20"/>
        </w:rPr>
        <w:t xml:space="preserve"> (na ich wagę). Do badań wykorzystano małże z gatunków: </w:t>
      </w:r>
      <w:r>
        <w:rPr>
          <w:rFonts w:ascii="Times New Roman" w:hAnsi="Times New Roman"/>
          <w:i/>
          <w:iCs/>
          <w:sz w:val="20"/>
          <w:szCs w:val="20"/>
        </w:rPr>
        <w:t xml:space="preserve">Unio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pictorum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 xml:space="preserve">Unio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tumidus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Anodonta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anatina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Anodonta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cygnea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Sinanodonta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woodiana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, w sumie 87 osobników zebranych z piaszczystego podłoża oraz 43 z mulistego podłoża, z dna zbiornika zaporowego. Sprawdzono: wagę każdego małża; jego objętość; powierzchnię muszli; stosunek masy i ilości osobników </w:t>
      </w:r>
      <w:r>
        <w:rPr>
          <w:rFonts w:ascii="Times New Roman" w:hAnsi="Times New Roman"/>
          <w:i/>
          <w:sz w:val="20"/>
          <w:szCs w:val="20"/>
        </w:rPr>
        <w:t xml:space="preserve">D. </w:t>
      </w:r>
      <w:proofErr w:type="spellStart"/>
      <w:r>
        <w:rPr>
          <w:rFonts w:ascii="Times New Roman" w:hAnsi="Times New Roman"/>
          <w:i/>
          <w:sz w:val="20"/>
          <w:szCs w:val="20"/>
        </w:rPr>
        <w:t>polymorpha</w:t>
      </w:r>
      <w:proofErr w:type="spellEnd"/>
      <w:r>
        <w:rPr>
          <w:rFonts w:ascii="Times New Roman" w:hAnsi="Times New Roman"/>
          <w:sz w:val="20"/>
          <w:szCs w:val="20"/>
        </w:rPr>
        <w:t xml:space="preserve"> przyczepionych do muszli skójki lub do pozostałych osobników racicznicy.</w:t>
      </w:r>
    </w:p>
    <w:p w:rsidR="0018621D" w:rsidRDefault="0018621D" w:rsidP="0018621D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naszych wstępnych badań wynika, że racicznica zmienna najbardziej preferuje gatunki: </w:t>
      </w:r>
      <w:r>
        <w:rPr>
          <w:rFonts w:ascii="Times New Roman" w:hAnsi="Times New Roman"/>
          <w:i/>
          <w:sz w:val="20"/>
          <w:szCs w:val="20"/>
        </w:rPr>
        <w:t xml:space="preserve">A. </w:t>
      </w:r>
      <w:proofErr w:type="spellStart"/>
      <w:r>
        <w:rPr>
          <w:rFonts w:ascii="Times New Roman" w:hAnsi="Times New Roman"/>
          <w:i/>
          <w:sz w:val="20"/>
          <w:szCs w:val="20"/>
        </w:rPr>
        <w:t>anatina</w:t>
      </w:r>
      <w:proofErr w:type="spellEnd"/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i/>
          <w:sz w:val="20"/>
          <w:szCs w:val="20"/>
        </w:rPr>
        <w:t xml:space="preserve">S. </w:t>
      </w:r>
      <w:proofErr w:type="spellStart"/>
      <w:r>
        <w:rPr>
          <w:rFonts w:ascii="Times New Roman" w:hAnsi="Times New Roman"/>
          <w:i/>
          <w:sz w:val="20"/>
          <w:szCs w:val="20"/>
        </w:rPr>
        <w:t>woodiana</w:t>
      </w:r>
      <w:proofErr w:type="spellEnd"/>
      <w:r>
        <w:rPr>
          <w:rFonts w:ascii="Times New Roman" w:hAnsi="Times New Roman"/>
          <w:sz w:val="20"/>
          <w:szCs w:val="20"/>
        </w:rPr>
        <w:t xml:space="preserve">, zaś najmniej: </w:t>
      </w:r>
      <w:r>
        <w:rPr>
          <w:rFonts w:ascii="Times New Roman" w:hAnsi="Times New Roman"/>
          <w:i/>
          <w:iCs/>
          <w:sz w:val="20"/>
          <w:szCs w:val="20"/>
        </w:rPr>
        <w:t xml:space="preserve">U.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tumidus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i A.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cygnea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. Niezależnie od stopnia obrośnięcia  przez racicznice stosunek masy skójki do jej objętości był podobny we wszystkich przypadkach. Bardziej porośnięte racicznicą były </w:t>
      </w:r>
      <w:proofErr w:type="spellStart"/>
      <w:r>
        <w:rPr>
          <w:rFonts w:ascii="Times New Roman" w:hAnsi="Times New Roman"/>
          <w:sz w:val="20"/>
          <w:szCs w:val="20"/>
        </w:rPr>
        <w:t>Unionidae</w:t>
      </w:r>
      <w:proofErr w:type="spellEnd"/>
      <w:r>
        <w:rPr>
          <w:rFonts w:ascii="Times New Roman" w:hAnsi="Times New Roman"/>
          <w:sz w:val="20"/>
          <w:szCs w:val="20"/>
        </w:rPr>
        <w:t xml:space="preserve"> z piaszczystego podłoża niż z mulistego</w:t>
      </w:r>
      <w:r>
        <w:rPr>
          <w:rFonts w:ascii="Times New Roman" w:hAnsi="Times New Roman"/>
          <w:iCs/>
          <w:sz w:val="20"/>
          <w:szCs w:val="20"/>
        </w:rPr>
        <w:t xml:space="preserve">. Najbardziej zniekształcone muszle obserwowaliśmy w przypadku  </w:t>
      </w:r>
      <w:r>
        <w:rPr>
          <w:rFonts w:ascii="Times New Roman" w:hAnsi="Times New Roman"/>
          <w:i/>
          <w:sz w:val="20"/>
          <w:szCs w:val="20"/>
        </w:rPr>
        <w:t xml:space="preserve">S. </w:t>
      </w:r>
      <w:proofErr w:type="spellStart"/>
      <w:r>
        <w:rPr>
          <w:rFonts w:ascii="Times New Roman" w:hAnsi="Times New Roman"/>
          <w:i/>
          <w:sz w:val="20"/>
          <w:szCs w:val="20"/>
        </w:rPr>
        <w:t>woodiana</w:t>
      </w:r>
      <w:proofErr w:type="spellEnd"/>
      <w:r>
        <w:rPr>
          <w:rFonts w:ascii="Times New Roman" w:hAnsi="Times New Roman"/>
          <w:sz w:val="20"/>
          <w:szCs w:val="20"/>
        </w:rPr>
        <w:t xml:space="preserve">. Podczas badań zebrano współwystępujące ze skójkami inne gatunki małży, więc można wykluczyć różnice w występowaniu larw racicznicy jako możliwą przyczynę różnic w intensywności porastania </w:t>
      </w:r>
      <w:proofErr w:type="spellStart"/>
      <w:r>
        <w:rPr>
          <w:rFonts w:ascii="Times New Roman" w:hAnsi="Times New Roman"/>
          <w:sz w:val="20"/>
          <w:szCs w:val="20"/>
        </w:rPr>
        <w:t>Unionidae</w:t>
      </w:r>
      <w:proofErr w:type="spellEnd"/>
      <w:r>
        <w:rPr>
          <w:rFonts w:ascii="Times New Roman" w:hAnsi="Times New Roman"/>
          <w:sz w:val="20"/>
          <w:szCs w:val="20"/>
        </w:rPr>
        <w:t xml:space="preserve">. Kolejnym naszym krokiem będą analogiczne badania laboratoryjne, w których postaramy się  wyjaśnić obserwacje, jakich dokonaliśmy w terenie. </w:t>
      </w:r>
    </w:p>
    <w:p w:rsidR="0018621D" w:rsidRDefault="0018621D" w:rsidP="0018621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8621D" w:rsidRDefault="0018621D" w:rsidP="0018621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E845B4" w:rsidRDefault="00E845B4">
      <w:bookmarkStart w:id="0" w:name="_GoBack"/>
      <w:bookmarkEnd w:id="0"/>
    </w:p>
    <w:sectPr w:rsidR="00E8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F4"/>
    <w:rsid w:val="0018621D"/>
    <w:rsid w:val="002E49F4"/>
    <w:rsid w:val="00E8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21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186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21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18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2</cp:revision>
  <dcterms:created xsi:type="dcterms:W3CDTF">2020-02-12T18:08:00Z</dcterms:created>
  <dcterms:modified xsi:type="dcterms:W3CDTF">2020-02-12T18:08:00Z</dcterms:modified>
</cp:coreProperties>
</file>